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6A" w:rsidRPr="00655C6A" w:rsidRDefault="00655C6A" w:rsidP="00655C6A">
      <w:pPr>
        <w:pStyle w:val="a3"/>
        <w:wordWrap/>
        <w:snapToGrid/>
        <w:spacing w:line="240" w:lineRule="auto"/>
        <w:jc w:val="center"/>
        <w:rPr>
          <w:sz w:val="17"/>
          <w:szCs w:val="17"/>
        </w:rPr>
      </w:pPr>
      <w:r w:rsidRPr="00655C6A">
        <w:rPr>
          <w:rFonts w:ascii="돋움" w:eastAsia="돋움" w:hAnsi="돋움" w:hint="eastAsia"/>
          <w:b/>
          <w:bCs/>
          <w:sz w:val="17"/>
          <w:szCs w:val="17"/>
        </w:rPr>
        <w:t>포 괄 위 임 장</w:t>
      </w:r>
    </w:p>
    <w:p w:rsidR="00655C6A" w:rsidRPr="00655C6A" w:rsidRDefault="00655C6A" w:rsidP="00655C6A">
      <w:pPr>
        <w:pStyle w:val="a3"/>
        <w:wordWrap/>
        <w:snapToGrid/>
        <w:spacing w:line="240" w:lineRule="auto"/>
        <w:jc w:val="center"/>
        <w:rPr>
          <w:rFonts w:eastAsia="돋움"/>
          <w:b/>
          <w:bCs/>
          <w:sz w:val="17"/>
          <w:szCs w:val="17"/>
        </w:rPr>
      </w:pP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 xml:space="preserve">출원인 (코드: - – - )은 변리사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황이남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>(</w:t>
      </w:r>
      <w:proofErr w:type="spellStart"/>
      <w:proofErr w:type="gramStart"/>
      <w:r w:rsidRPr="00655C6A">
        <w:rPr>
          <w:rFonts w:ascii="돋움" w:eastAsia="돋움" w:hAnsi="돋움" w:hint="eastAsia"/>
          <w:sz w:val="17"/>
          <w:szCs w:val="17"/>
        </w:rPr>
        <w:t>대리인코드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: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9-1998- 000610-1)</w:t>
      </w:r>
      <w:r w:rsidRPr="00655C6A">
        <w:rPr>
          <w:rFonts w:ascii="돋움" w:eastAsia="돋움" w:hAnsi="돋움"/>
          <w:sz w:val="17"/>
          <w:szCs w:val="17"/>
        </w:rPr>
        <w:t>,</w:t>
      </w:r>
      <w:r w:rsidRPr="00655C6A">
        <w:rPr>
          <w:rFonts w:ascii="돋움" w:eastAsia="돋움" w:hAnsi="돋움" w:hint="eastAsia"/>
          <w:sz w:val="17"/>
          <w:szCs w:val="17"/>
        </w:rPr>
        <w:t xml:space="preserve"> 변리사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김석윤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>(9-1998-000096-8)를 대리인으로서 다음과 같이 위임합니다.</w:t>
      </w:r>
    </w:p>
    <w:p w:rsidR="00655C6A" w:rsidRPr="00655C6A" w:rsidRDefault="00655C6A" w:rsidP="00655C6A">
      <w:pPr>
        <w:pStyle w:val="a3"/>
        <w:wordWrap/>
        <w:snapToGrid/>
        <w:spacing w:line="240" w:lineRule="auto"/>
        <w:jc w:val="center"/>
        <w:rPr>
          <w:rFonts w:eastAsia="돋움"/>
          <w:sz w:val="17"/>
          <w:szCs w:val="17"/>
        </w:rPr>
      </w:pPr>
    </w:p>
    <w:p w:rsidR="00655C6A" w:rsidRPr="00655C6A" w:rsidRDefault="00655C6A" w:rsidP="00655C6A">
      <w:pPr>
        <w:pStyle w:val="a3"/>
        <w:wordWrap/>
        <w:snapToGrid/>
        <w:spacing w:line="240" w:lineRule="auto"/>
        <w:jc w:val="center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다 음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A01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A02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.특허권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등록에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A04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포기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A05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A06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청구의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A07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신청의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A08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.특허권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존속기간연장등록출원의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A09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.특허권의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포기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A10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기초한 특허법 제55조제1항의 규정에 의한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우선권주장</w:t>
      </w:r>
      <w:proofErr w:type="spellEnd"/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A11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기초한 특허법 제55조제1항의 규정에 의한 우선권주장의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A12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복대리인의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선임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A13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거절결정불복심판청구관련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A15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취소결정불복심판청구관련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A16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거절결정불복심판청구의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A18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취소결정불복심판청구의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A19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.타인의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특허출원에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출원심사의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청구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A20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.타인의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특허출원에 관한 특허법 제63조의2에 따른 정보의 제공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A21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.타인의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특허출원에 관한 특허법 제61조에 따른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우선심사의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신청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A22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.실용신안등록출원을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기초로 특허출원으로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이중출원</w:t>
      </w:r>
      <w:proofErr w:type="spellEnd"/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A23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.특허이의신청에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A24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.특허이의신청의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A25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특허심판에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A26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특허심판에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심판청구의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A27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특허심판에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신청의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A28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특허심판에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복대리인의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선임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A29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.실용신안등록출원을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기초로 특허출원으로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변경출원</w:t>
      </w:r>
      <w:proofErr w:type="spellEnd"/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B01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B02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실용신안권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등록에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B04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포기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B05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B06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청구의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B07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신청의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B08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.실용신안권의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포기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B09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기초한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실용신안법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제11조에 따른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우선권주장</w:t>
      </w:r>
      <w:proofErr w:type="spellEnd"/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B10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기초한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실용신안법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제11조에 따른 우선권주장의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B11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복대리인의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선임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B14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취소결정불복심판청구관련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B17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취소결정불복심판청구의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B19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.타인의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실용신안등록에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실용신안법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제15조에 따른 정보의 제공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B21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.특허출원을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기초로 실용신안등록출원으로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이중출원</w:t>
      </w:r>
      <w:proofErr w:type="spellEnd"/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B22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또는 등록실용신안에 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기술평가에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B23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.타인의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실용신안등록출원 또는 등록실용신안에 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기술평가에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B24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실용신안등록출원각하결정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불복심판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관련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B25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.실용신안등록이의신청에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B26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.실용신안등록이의신청의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B27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B28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심판청구의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B29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신청의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B30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복대리인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선임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B31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.특허출원을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기초로 실용신안등록출원으로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변경출원</w:t>
      </w:r>
      <w:proofErr w:type="spellEnd"/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B32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.실용신안등록출원에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거절결정불복심판청구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관련 모든 절차</w:t>
      </w:r>
      <w:r w:rsidRPr="00655C6A">
        <w:rPr>
          <w:rFonts w:ascii="돋움" w:eastAsia="돋움" w:hAnsi="돋움" w:hint="eastAsia"/>
          <w:color w:val="FFFFFF"/>
          <w:sz w:val="17"/>
          <w:szCs w:val="17"/>
        </w:rPr>
        <w:t>신안등록출원에 관한 거절결정불복심판</w:t>
      </w:r>
      <w:r w:rsidRPr="00655C6A">
        <w:rPr>
          <w:rFonts w:ascii="돋움" w:eastAsia="돋움" w:hAnsi="돋움" w:hint="eastAsia"/>
          <w:sz w:val="17"/>
          <w:szCs w:val="17"/>
        </w:rPr>
        <w:t xml:space="preserve">B33.실용신안등록출원에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거절결정불복심판청구의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B34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.타인의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실용신안등록출원에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출원심사의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청구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B35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.타인의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실용신안등록출원에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실용신안법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제15조에 따른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우선심사의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신청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C01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lastRenderedPageBreak/>
        <w:t>C02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디자인권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등록에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C04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포기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C05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C06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청구의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C07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신청의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C08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디자인권의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포기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C09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복대리인의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선임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C10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거절결정불복심판청구관련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C11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보정각하결정불복심판청구관련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C12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취소결정불복심판청구관련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C13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거절결정불복심판청구의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C14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보정각하결정불복심판의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C15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취소결정불복심판청구의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C16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.타인의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디자인등록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출원에 관한 디자인보호법 제55조에 따른 정보의 제공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C17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.타인의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디자인등록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출원에 관한 디자인보호법 제61조에 따른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우선심사의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신청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C18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.디자인등록이의신청에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C19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.디자인등록이의신청의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C20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C21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심판청구의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C22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신청의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C23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.디자인등록심판에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복대리인의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선임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D01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D02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.상표권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등록에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D03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포기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D04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D05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청구의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D06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신청의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D07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.상표권의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포기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D08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복대리인의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선임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D09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거절결정불복심판청구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관련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D10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보정각하결정불복심판청구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관련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D11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거절결정불복심판청구의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D12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보정각하결정불복심판의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D13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.타인의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상표등록출원에 관한 상표법 제49조에 따른 정보의 제공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D14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상품분류전환등록신청에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D15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.상품분류전환등록에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D16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상품분류전환등록신청의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D17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상품분류전환등록신청에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거절결정불복심판청구관련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D18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상품분류전환등록신청에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보정각하결정불복심판관련</w:t>
      </w:r>
      <w:proofErr w:type="spellEnd"/>
      <w:r w:rsidRPr="00655C6A">
        <w:rPr>
          <w:rFonts w:eastAsia="돋움"/>
          <w:sz w:val="17"/>
          <w:szCs w:val="17"/>
        </w:rPr>
        <w:t xml:space="preserve"> </w:t>
      </w:r>
      <w:r w:rsidRPr="00655C6A">
        <w:rPr>
          <w:rFonts w:eastAsia="돋움"/>
          <w:sz w:val="17"/>
          <w:szCs w:val="17"/>
        </w:rPr>
        <w:t>모든</w:t>
      </w:r>
      <w:r w:rsidRPr="00655C6A">
        <w:rPr>
          <w:rFonts w:eastAsia="돋움"/>
          <w:sz w:val="17"/>
          <w:szCs w:val="17"/>
        </w:rPr>
        <w:t xml:space="preserve"> </w:t>
      </w:r>
      <w:r w:rsidRPr="00655C6A">
        <w:rPr>
          <w:rFonts w:eastAsia="돋움"/>
          <w:sz w:val="17"/>
          <w:szCs w:val="17"/>
        </w:rPr>
        <w:t>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D19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상품분류전환등록신청에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거절결정불복심판청구의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D20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상품분류전환등록신청에</w:t>
      </w:r>
      <w:proofErr w:type="spellEnd"/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보정각하결정불복심판청구의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D21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.상표등록출원이의신청에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D22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.상표등록출원이의신청의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D23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D24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심판청구의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D25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신청의 취하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D26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.상표등록심판에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관한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복대리인의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선임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D27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.상표등록출원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, 서비스표등록출원,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단체표장등록출원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(지리적 표시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단체표장등록출원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제외), 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proofErr w:type="spellStart"/>
      <w:r w:rsidRPr="00655C6A">
        <w:rPr>
          <w:rFonts w:ascii="돋움" w:eastAsia="돋움" w:hAnsi="돋움" w:hint="eastAsia"/>
          <w:sz w:val="17"/>
          <w:szCs w:val="17"/>
        </w:rPr>
        <w:t>증명표장등록출원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(지리적 표시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증명표장등록출원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제외) 상호간의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변경출원</w:t>
      </w:r>
      <w:proofErr w:type="spellEnd"/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E00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.상표의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마드리드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국제출원과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관련한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본국관청에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관한 모든 절차 </w:t>
      </w:r>
    </w:p>
    <w:p w:rsidR="00655C6A" w:rsidRPr="00655C6A" w:rsidRDefault="00655C6A" w:rsidP="00655C6A">
      <w:pPr>
        <w:pStyle w:val="a3"/>
        <w:snapToGrid/>
        <w:spacing w:line="240" w:lineRule="auto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 xml:space="preserve">F00. 헤이그협정에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ekFMS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디자인의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국제출원과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관련된 모든 절차</w:t>
      </w:r>
    </w:p>
    <w:p w:rsidR="00655C6A" w:rsidRPr="00655C6A" w:rsidRDefault="00655C6A" w:rsidP="00655C6A">
      <w:pPr>
        <w:pStyle w:val="a3"/>
        <w:snapToGrid/>
        <w:spacing w:line="240" w:lineRule="auto"/>
        <w:rPr>
          <w:rFonts w:eastAsia="돋움"/>
          <w:sz w:val="17"/>
          <w:szCs w:val="17"/>
        </w:rPr>
      </w:pPr>
    </w:p>
    <w:p w:rsidR="00655C6A" w:rsidRPr="00655C6A" w:rsidRDefault="00655C6A" w:rsidP="00655C6A">
      <w:pPr>
        <w:pStyle w:val="a3"/>
        <w:wordWrap/>
        <w:snapToGrid/>
        <w:spacing w:line="240" w:lineRule="auto"/>
        <w:jc w:val="right"/>
        <w:rPr>
          <w:rFonts w:eastAsia="돋움"/>
          <w:sz w:val="17"/>
          <w:szCs w:val="17"/>
        </w:rPr>
      </w:pPr>
    </w:p>
    <w:p w:rsidR="00655C6A" w:rsidRPr="00655C6A" w:rsidRDefault="00655C6A" w:rsidP="00655C6A">
      <w:pPr>
        <w:pStyle w:val="a3"/>
        <w:wordWrap/>
        <w:snapToGrid/>
        <w:spacing w:line="240" w:lineRule="auto"/>
        <w:jc w:val="right"/>
        <w:rPr>
          <w:rFonts w:eastAsia="돋움"/>
          <w:sz w:val="17"/>
          <w:szCs w:val="17"/>
        </w:rPr>
      </w:pPr>
    </w:p>
    <w:p w:rsidR="00655C6A" w:rsidRPr="00655C6A" w:rsidRDefault="00655C6A" w:rsidP="00655C6A">
      <w:pPr>
        <w:pStyle w:val="a3"/>
        <w:wordWrap/>
        <w:snapToGrid/>
        <w:spacing w:line="240" w:lineRule="auto"/>
        <w:jc w:val="right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20 년</w:t>
      </w:r>
      <w:r w:rsidRPr="00655C6A">
        <w:rPr>
          <w:rFonts w:ascii="돋움" w:eastAsia="돋움" w:hAnsi="돋움" w:hint="eastAsia"/>
          <w:sz w:val="17"/>
          <w:szCs w:val="17"/>
        </w:rPr>
        <w:t xml:space="preserve">     </w:t>
      </w:r>
      <w:r w:rsidRPr="00655C6A">
        <w:rPr>
          <w:rFonts w:ascii="돋움" w:eastAsia="돋움" w:hAnsi="돋움" w:hint="eastAsia"/>
          <w:sz w:val="17"/>
          <w:szCs w:val="17"/>
        </w:rPr>
        <w:t xml:space="preserve"> 월 </w:t>
      </w:r>
      <w:r w:rsidRPr="00655C6A">
        <w:rPr>
          <w:rFonts w:ascii="돋움" w:eastAsia="돋움" w:hAnsi="돋움"/>
          <w:sz w:val="17"/>
          <w:szCs w:val="17"/>
        </w:rPr>
        <w:t xml:space="preserve">     </w:t>
      </w:r>
      <w:r w:rsidRPr="00655C6A">
        <w:rPr>
          <w:rFonts w:ascii="돋움" w:eastAsia="돋움" w:hAnsi="돋움" w:hint="eastAsia"/>
          <w:sz w:val="17"/>
          <w:szCs w:val="17"/>
        </w:rPr>
        <w:t>일</w:t>
      </w:r>
    </w:p>
    <w:p w:rsidR="00655C6A" w:rsidRPr="00655C6A" w:rsidRDefault="00655C6A" w:rsidP="00655C6A">
      <w:pPr>
        <w:pStyle w:val="a3"/>
        <w:snapToGrid/>
        <w:spacing w:line="240" w:lineRule="auto"/>
        <w:ind w:left="2400" w:firstLine="800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 xml:space="preserve">출원인 </w:t>
      </w:r>
      <w:r w:rsidRPr="00655C6A">
        <w:rPr>
          <w:rFonts w:ascii="돋움" w:eastAsia="돋움" w:hAnsi="돋움"/>
          <w:sz w:val="17"/>
          <w:szCs w:val="17"/>
        </w:rPr>
        <w:t xml:space="preserve"> </w:t>
      </w:r>
      <w:r w:rsidRPr="00655C6A">
        <w:rPr>
          <w:rFonts w:ascii="돋움" w:eastAsia="돋움" w:hAnsi="돋움"/>
          <w:sz w:val="17"/>
          <w:szCs w:val="17"/>
        </w:rPr>
        <w:tab/>
      </w:r>
      <w:r w:rsidRPr="00655C6A">
        <w:rPr>
          <w:rFonts w:ascii="돋움" w:eastAsia="돋움" w:hAnsi="돋움"/>
          <w:sz w:val="17"/>
          <w:szCs w:val="17"/>
        </w:rPr>
        <w:tab/>
      </w:r>
      <w:r w:rsidRPr="00655C6A">
        <w:rPr>
          <w:rFonts w:ascii="돋움" w:eastAsia="돋움" w:hAnsi="돋움"/>
          <w:sz w:val="17"/>
          <w:szCs w:val="17"/>
        </w:rPr>
        <w:tab/>
      </w:r>
      <w:r w:rsidRPr="00655C6A">
        <w:rPr>
          <w:rFonts w:ascii="돋움" w:eastAsia="돋움" w:hAnsi="돋움"/>
          <w:sz w:val="17"/>
          <w:szCs w:val="17"/>
        </w:rPr>
        <w:tab/>
      </w:r>
      <w:r w:rsidRPr="00655C6A">
        <w:rPr>
          <w:rFonts w:ascii="돋움" w:eastAsia="돋움" w:hAnsi="돋움" w:hint="eastAsia"/>
          <w:sz w:val="17"/>
          <w:szCs w:val="17"/>
        </w:rPr>
        <w:t>(서명 또는 인)</w:t>
      </w:r>
      <w:r w:rsidRPr="00655C6A">
        <w:rPr>
          <w:rFonts w:eastAsia="돋움"/>
          <w:sz w:val="17"/>
          <w:szCs w:val="17"/>
        </w:rPr>
        <w:t xml:space="preserve"> </w:t>
      </w:r>
    </w:p>
    <w:p w:rsidR="00655C6A" w:rsidRPr="00655C6A" w:rsidRDefault="00655C6A" w:rsidP="00655C6A">
      <w:pPr>
        <w:pStyle w:val="a3"/>
        <w:spacing w:line="240" w:lineRule="auto"/>
        <w:ind w:left="240" w:hanging="240"/>
        <w:rPr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>[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포괄위임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설명확인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>]</w:t>
      </w:r>
    </w:p>
    <w:p w:rsidR="00655C6A" w:rsidRDefault="00655C6A" w:rsidP="00655C6A">
      <w:pPr>
        <w:pStyle w:val="a3"/>
        <w:spacing w:line="240" w:lineRule="auto"/>
        <w:ind w:left="400" w:hanging="400"/>
        <w:rPr>
          <w:rFonts w:ascii="돋움" w:eastAsia="돋움" w:hAnsi="돋움"/>
          <w:sz w:val="17"/>
          <w:szCs w:val="17"/>
        </w:rPr>
      </w:pPr>
      <w:r w:rsidRPr="00655C6A">
        <w:rPr>
          <w:rFonts w:ascii="돋움" w:eastAsia="돋움" w:hAnsi="돋움" w:hint="eastAsia"/>
          <w:sz w:val="17"/>
          <w:szCs w:val="17"/>
        </w:rPr>
        <w:t xml:space="preserve">위 대리인으로부터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포괄위임의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중요사항(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위임범위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, 기간, </w:t>
      </w:r>
      <w:proofErr w:type="spellStart"/>
      <w:r w:rsidRPr="00655C6A">
        <w:rPr>
          <w:rFonts w:ascii="돋움" w:eastAsia="돋움" w:hAnsi="돋움" w:hint="eastAsia"/>
          <w:sz w:val="17"/>
          <w:szCs w:val="17"/>
        </w:rPr>
        <w:t>철회방법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등)에 관하여 상세하게 설명을 듣고 </w:t>
      </w:r>
      <w:proofErr w:type="spellStart"/>
      <w:r>
        <w:rPr>
          <w:rFonts w:ascii="돋움" w:eastAsia="돋움" w:hAnsi="돋움" w:hint="eastAsia"/>
          <w:sz w:val="17"/>
          <w:szCs w:val="17"/>
        </w:rPr>
        <w:t>이해하였습</w:t>
      </w:r>
      <w:proofErr w:type="spellEnd"/>
    </w:p>
    <w:p w:rsidR="00655C6A" w:rsidRPr="00655C6A" w:rsidRDefault="00655C6A" w:rsidP="00655C6A">
      <w:pPr>
        <w:pStyle w:val="a3"/>
        <w:spacing w:line="240" w:lineRule="auto"/>
        <w:ind w:left="400" w:hanging="400"/>
        <w:rPr>
          <w:sz w:val="17"/>
          <w:szCs w:val="17"/>
        </w:rPr>
      </w:pPr>
      <w:proofErr w:type="spellStart"/>
      <w:r w:rsidRPr="00655C6A">
        <w:rPr>
          <w:rFonts w:ascii="돋움" w:eastAsia="돋움" w:hAnsi="돋움" w:hint="eastAsia"/>
          <w:sz w:val="17"/>
          <w:szCs w:val="17"/>
        </w:rPr>
        <w:t>니다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>.</w:t>
      </w:r>
    </w:p>
    <w:p w:rsidR="00D035AB" w:rsidRPr="00655C6A" w:rsidRDefault="00655C6A" w:rsidP="00655C6A">
      <w:pPr>
        <w:pStyle w:val="a3"/>
        <w:spacing w:line="240" w:lineRule="auto"/>
        <w:ind w:left="468" w:hanging="68"/>
        <w:rPr>
          <w:sz w:val="17"/>
          <w:szCs w:val="17"/>
        </w:rPr>
      </w:pPr>
      <w:proofErr w:type="spellStart"/>
      <w:r w:rsidRPr="00655C6A">
        <w:rPr>
          <w:rFonts w:ascii="돋움" w:eastAsia="돋움" w:hAnsi="돋움" w:hint="eastAsia"/>
          <w:sz w:val="17"/>
          <w:szCs w:val="17"/>
        </w:rPr>
        <w:t>설명일자</w:t>
      </w:r>
      <w:proofErr w:type="spellEnd"/>
      <w:r w:rsidRPr="00655C6A">
        <w:rPr>
          <w:rFonts w:ascii="돋움" w:eastAsia="돋움" w:hAnsi="돋움" w:hint="eastAsia"/>
          <w:sz w:val="17"/>
          <w:szCs w:val="17"/>
        </w:rPr>
        <w:t xml:space="preserve"> </w:t>
      </w:r>
      <w:proofErr w:type="gramStart"/>
      <w:r w:rsidRPr="00655C6A">
        <w:rPr>
          <w:rFonts w:ascii="돋움" w:eastAsia="돋움" w:hAnsi="돋움" w:hint="eastAsia"/>
          <w:sz w:val="17"/>
          <w:szCs w:val="17"/>
        </w:rPr>
        <w:t>20 .</w:t>
      </w:r>
      <w:proofErr w:type="gramEnd"/>
      <w:r w:rsidRPr="00655C6A">
        <w:rPr>
          <w:rFonts w:ascii="돋움" w:eastAsia="돋움" w:hAnsi="돋움" w:hint="eastAsia"/>
          <w:sz w:val="17"/>
          <w:szCs w:val="17"/>
        </w:rPr>
        <w:t xml:space="preserve"> . . </w:t>
      </w:r>
      <w:r>
        <w:rPr>
          <w:rFonts w:ascii="돋움" w:eastAsia="돋움" w:hAnsi="돋움"/>
          <w:sz w:val="17"/>
          <w:szCs w:val="17"/>
        </w:rPr>
        <w:tab/>
      </w:r>
      <w:r>
        <w:rPr>
          <w:rFonts w:ascii="돋움" w:eastAsia="돋움" w:hAnsi="돋움"/>
          <w:sz w:val="17"/>
          <w:szCs w:val="17"/>
        </w:rPr>
        <w:tab/>
      </w:r>
      <w:bookmarkStart w:id="0" w:name="_GoBack"/>
      <w:bookmarkEnd w:id="0"/>
      <w:r w:rsidRPr="00655C6A">
        <w:rPr>
          <w:rFonts w:ascii="돋움" w:eastAsia="돋움" w:hAnsi="돋움" w:hint="eastAsia"/>
          <w:sz w:val="17"/>
          <w:szCs w:val="17"/>
        </w:rPr>
        <w:t>출원인</w:t>
      </w:r>
      <w:r>
        <w:rPr>
          <w:rFonts w:ascii="돋움" w:eastAsia="돋움" w:hAnsi="돋움"/>
          <w:sz w:val="17"/>
          <w:szCs w:val="17"/>
        </w:rPr>
        <w:tab/>
      </w:r>
      <w:r>
        <w:rPr>
          <w:rFonts w:ascii="돋움" w:eastAsia="돋움" w:hAnsi="돋움"/>
          <w:sz w:val="17"/>
          <w:szCs w:val="17"/>
        </w:rPr>
        <w:tab/>
      </w:r>
      <w:r>
        <w:rPr>
          <w:rFonts w:ascii="돋움" w:eastAsia="돋움" w:hAnsi="돋움"/>
          <w:sz w:val="17"/>
          <w:szCs w:val="17"/>
        </w:rPr>
        <w:tab/>
      </w:r>
      <w:r w:rsidRPr="00655C6A">
        <w:rPr>
          <w:rFonts w:ascii="돋움" w:eastAsia="돋움" w:hAnsi="돋움" w:hint="eastAsia"/>
          <w:sz w:val="17"/>
          <w:szCs w:val="17"/>
        </w:rPr>
        <w:t xml:space="preserve"> (서명 또는 인)</w:t>
      </w:r>
      <w:r w:rsidRPr="00655C6A">
        <w:rPr>
          <w:rFonts w:eastAsia="돋움"/>
          <w:sz w:val="17"/>
          <w:szCs w:val="17"/>
        </w:rPr>
        <w:t xml:space="preserve"> </w:t>
      </w:r>
    </w:p>
    <w:sectPr w:rsidR="00D035AB" w:rsidRPr="00655C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6A"/>
    <w:rsid w:val="00500596"/>
    <w:rsid w:val="00655C6A"/>
    <w:rsid w:val="0078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65FB"/>
  <w15:chartTrackingRefBased/>
  <w15:docId w15:val="{80459BBB-BF7C-4A9E-8DC9-72EE5CA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55C6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2020-05-20T23:53:00Z</dcterms:created>
  <dcterms:modified xsi:type="dcterms:W3CDTF">2020-05-20T23:58:00Z</dcterms:modified>
</cp:coreProperties>
</file>